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Гигиенические основы физического воспитания</w:t>
            </w:r>
          </w:p>
          <w:p>
            <w:pPr>
              <w:jc w:val="center"/>
              <w:spacing w:after="0" w:line="240" w:lineRule="auto"/>
              <w:rPr>
                <w:sz w:val="32"/>
                <w:szCs w:val="32"/>
              </w:rPr>
            </w:pPr>
            <w:r>
              <w:rPr>
                <w:rFonts w:ascii="Times New Roman" w:hAnsi="Times New Roman" w:cs="Times New Roman"/>
                <w:color w:val="#000000"/>
                <w:sz w:val="32"/>
                <w:szCs w:val="32"/>
              </w:rPr>
              <w:t> Б1.В.01.04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«Гигиенические основы физического воспитания»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Б1.В.01.04 «Гигиенические основы физического воспитания».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«Гигиенические основы физического воспитания»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проектировании предметной среды образовательной программы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здоровьесберегающие технологии в учебном процессе</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применять меры профилактики детского травматизма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навыком оказания первой доврачебной помощи обучающимся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различные формы, виды, устной и письменной коммуникации на русском, родном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уметь свободно воспринимать, анализировать и критически оценивать устную и письменную деловую информацию на русском, родном и иностанном(ых) языке(ах)</w:t>
            </w:r>
          </w:p>
        </w:tc>
      </w:tr>
      <w:tr>
        <w:trPr>
          <w:trHeight w:hRule="exact" w:val="343.9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владеть системой норм русского литературного языка, родного языка и нормами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иностранного(ых) языка(ов)</w:t>
            </w:r>
          </w:p>
        </w:tc>
      </w:tr>
      <w:tr>
        <w:trPr>
          <w:trHeight w:hRule="exact" w:val="277.83"/>
        </w:trPr>
        <w:tc>
          <w:tcPr>
            <w:tcW w:w="9640" w:type="dxa"/>
          </w:tcP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 историческому наследию и социокультурным традициям своего Отечества</w:t>
            </w:r>
          </w:p>
        </w:tc>
      </w:tr>
      <w:tr>
        <w:trPr>
          <w:trHeight w:hRule="exact" w:val="277.8299"/>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 знать методы защиты в чрезвычайных ситуациях и военных конфликтах</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УК-8.16 уметь оценивать факторы риска, обеспечивать личную безопасность и безопасность окружающих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УК-8.24 владеть способами формирования культуры безопасного и ответственного поведения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Б1.В.01.04 «Гигиенические основы физического воспитания» относится к обязательной части, является дисциплиной Блока Б1. «Дисциплины (модули)». Модуль "Медико-биологические основы физической культуры и спорта"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учебных предметов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Биология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3</w:t>
            </w:r>
          </w:p>
          <w:p>
            <w:pPr>
              <w:jc w:val="center"/>
              <w:spacing w:after="0" w:line="240" w:lineRule="auto"/>
              <w:rPr>
                <w:sz w:val="22"/>
                <w:szCs w:val="22"/>
              </w:rPr>
            </w:pPr>
            <w:r>
              <w:rPr>
                <w:rFonts w:ascii="Times New Roman" w:hAnsi="Times New Roman" w:cs="Times New Roman"/>
                <w:color w:val="#000000"/>
                <w:sz w:val="22"/>
                <w:szCs w:val="22"/>
              </w:rPr>
              <w:t> Технологии сохранения здоровья педагога средствами физической культуры</w:t>
            </w:r>
          </w:p>
          <w:p>
            <w:pPr>
              <w:jc w:val="center"/>
              <w:spacing w:after="0" w:line="240" w:lineRule="auto"/>
              <w:rPr>
                <w:sz w:val="22"/>
                <w:szCs w:val="22"/>
              </w:rPr>
            </w:pPr>
            <w:r>
              <w:rPr>
                <w:rFonts w:ascii="Times New Roman" w:hAnsi="Times New Roman" w:cs="Times New Roman"/>
                <w:color w:val="#000000"/>
                <w:sz w:val="22"/>
                <w:szCs w:val="22"/>
              </w:rPr>
              <w:t> Современные виды физкультурно- оздоровительной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ПК-1, УК-5, УК-4, УК-8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91</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личной гигиены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Гигиеническое обеспечение физического воспитания в детских 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Гигиеническое обеспечение занятий отдельными видами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Гигиенические требования к спортивным сооружениям разных типов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Гигиеническое обеспечение спортивных тренировок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Гигиенические требования к спортивным сооружениям разных типов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гигиены. Гигиена физической культуры 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физической культуры и спорта в формировании здоровья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Требования личной гигиены при занятиях физической культурой и спортом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Гигиеническое обеспечение физического воспитания в детских 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Гигиеническое обеспечение спортивных тренировок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Гигиеническое обеспечение занятий отдельными видами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Гигиенические требования к спортивным сооружениям разных типов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723.9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Требования личной гигиены при занятиях физической культурой и спортом</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Знание правил личной гигиены для укрепления и повышения спортивной работоспособности. Гигиенические основы режима труда, спортивной деятельности и отдыха. Рациональный суточный режим труда для лиц разного возраста с учетом биологических ритмов и суточных изменений психофизиологических функций, возраста, трудовой деятельности, бытовых условий, вида занятий физическими упражнениями и спортом, условий тренировки. Физические упражнения в суточном режиме. Гигиенические требования ко сну. Сон и спортивная работоспособность. Профилактика бессонницы. Уход за телом. Гигиенические правила применения различных водных процедур.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Гигиеническое обеспечение физического воспитания в детских образовательных учреждениях</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Гигиеническая характеристика возрастных особенностей детей и подростков. Влияние внешней среды и социальных факторов на рост и развитие детей и подростков. Гигиенические аспектыакселерации детей и подростков. Биологический возраст детей и подростков. Роль и значение гигиенических факторов на различных возрастных этапах. Социально-гигиенические мероприятия по охране и укреплению здоровья подрастающего поколения в РФ. Гигиенические основы физического воспитания детей и подростков. Гигиеническая характеристика и методика проведения утренней гимнастики, гимнастики до уроков, физкультминуток, уроков физического воспитания, прогулок, экскурсий, туристских походов. Использование естественных сил природы для закаливания организма детей и подростков. Физкультурно-оздоровительная работа со школьниками. Суточный режим школьников различного возраста. Особенности питания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Гигиеническое обеспечение занятий отдельными видами спорта</w:t>
            </w:r>
          </w:p>
        </w:tc>
      </w:tr>
      <w:tr>
        <w:trPr>
          <w:trHeight w:hRule="exact" w:val="1300.2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Гигиенические требования к спортивной одежде и обуви. Легкая атлетика. Гигиеническая характеристика. Гигиена тренировки и соревнований. Личная гигиена и питание легкоатлетов. Гигиенические требования к стадионам и легкоатлетическим манежам. Профилактика травм. Плавание. Гигиеническая характеристика. Гигиена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тренировки и соревнований. Личная гигиена и питание пловцов. Гигиенические требования к крытым и открытым плавательным бассейнам. Спортивные игры. Гигиеническая характеристика. Гигиена тренировки и соревнований. Личная гигиена и питание спортсменов (игроков). Гигиенические требования к игровым залам и площадкам. Профилактика травм. Гимнастика. Гигиеническая характеристика. Гигиена тренировки и соревнований. Личная гигиена и питание гимнастов. Гигиенические требования к гимнастическому залу. Профилактика травм. Спортивная борьба. Гигиеническая характеристика. Гигиена тренировки и соревнований. Личная гигиена и питание борцов. Гигиенические требования к местам занятий борьбой. Профилактика травм. Бокс. Гигиеническая характеристика. Гигиена тренировки и соревнований. Личная гигиена и защитные приспособления. Особенности питания. Гигиенические требования к местам занятий боксом. Профилактика травм. Тяжелая атлетика. Гигиеническая характеристика. Гигиена тренировки и соревнований. Личная гигиена. Особенности питания тяжелоатлетов. Гигиенические требования к местам занятий тяжелойатлетикой. Профилактика травм. Лыжный спорт. Гигиеническая характеристика. Гигиенические требования к организации, условиям и местам проведения занятий, нормированию нагрузок, одежде, обуви.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Гигиенические требования к спортивным сооружениям разных типов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Гигиенические требования к выбору места, экологическим условиям и ориентации зданий спортивных сооружений. Гигиенические требования к строительным материалам. Гигиенические требования к планировке спортивных сооружений. Гигиенические требования к освещению спортивных сооружений. Гигиеническая характеристика естественного и искусственного освещения. Единицы освещенности. Приборы и методы определения освещенности. Нормы освещенности открытых и крытых спортивных сооружений. Гигиенические требования к отоплению спортивных сооружений. Гигиеническая характеристика различных систем отопления. Нормативные показатели микроклиматических условий в различных спортивных сооружениях. Гигиенические требования к вентиляции спортивных сооружений. Гигиеническая характеристика различных систем вентиляции в спортивных сооружениях. Методы определения эффективности вентиляции. Нормативные показатели эффективности вентиляции в спортивных сооружениях.</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Гигиеническое обеспечение спортивных тренировок</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Составление плана восстановительных мероприятий для спортсменов.</w:t>
            </w:r>
          </w:p>
          <w:p>
            <w:pPr>
              <w:jc w:val="both"/>
              <w:spacing w:after="0" w:line="240" w:lineRule="auto"/>
              <w:rPr>
                <w:sz w:val="24"/>
                <w:szCs w:val="24"/>
              </w:rPr>
            </w:pPr>
            <w:r>
              <w:rPr>
                <w:rFonts w:ascii="Times New Roman" w:hAnsi="Times New Roman" w:cs="Times New Roman"/>
                <w:color w:val="#000000"/>
                <w:sz w:val="24"/>
                <w:szCs w:val="24"/>
              </w:rPr>
              <w:t> Изучение требований к организации безопасности процесса спортивной тренировки.</w:t>
            </w:r>
          </w:p>
          <w:p>
            <w:pPr>
              <w:jc w:val="both"/>
              <w:spacing w:after="0" w:line="240" w:lineRule="auto"/>
              <w:rPr>
                <w:sz w:val="24"/>
                <w:szCs w:val="24"/>
              </w:rPr>
            </w:pPr>
            <w:r>
              <w:rPr>
                <w:rFonts w:ascii="Times New Roman" w:hAnsi="Times New Roman" w:cs="Times New Roman"/>
                <w:color w:val="#000000"/>
                <w:sz w:val="24"/>
                <w:szCs w:val="24"/>
              </w:rPr>
              <w:t> Составление кластеров по гигиеническим средствам восстановления спортивной работо- способности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Гигиенические требования к спортивным сооружениям разных типов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нормативных размеров площади спортивных залов и бассейнов.</w:t>
            </w:r>
          </w:p>
          <w:p>
            <w:pPr>
              <w:jc w:val="both"/>
              <w:spacing w:after="0" w:line="240" w:lineRule="auto"/>
              <w:rPr>
                <w:sz w:val="24"/>
                <w:szCs w:val="24"/>
              </w:rPr>
            </w:pPr>
            <w:r>
              <w:rPr>
                <w:rFonts w:ascii="Times New Roman" w:hAnsi="Times New Roman" w:cs="Times New Roman"/>
                <w:color w:val="#000000"/>
                <w:sz w:val="24"/>
                <w:szCs w:val="24"/>
              </w:rPr>
              <w:t> Расчет размеров вспомогательных помещений спортивного зала.</w:t>
            </w:r>
          </w:p>
          <w:p>
            <w:pPr>
              <w:jc w:val="both"/>
              <w:spacing w:after="0" w:line="240" w:lineRule="auto"/>
              <w:rPr>
                <w:sz w:val="24"/>
                <w:szCs w:val="24"/>
              </w:rPr>
            </w:pPr>
            <w:r>
              <w:rPr>
                <w:rFonts w:ascii="Times New Roman" w:hAnsi="Times New Roman" w:cs="Times New Roman"/>
                <w:color w:val="#000000"/>
                <w:sz w:val="24"/>
                <w:szCs w:val="24"/>
              </w:rPr>
              <w:t> Расчет показателей естественной освещенности спортивного зала.</w:t>
            </w:r>
          </w:p>
          <w:p>
            <w:pPr>
              <w:jc w:val="both"/>
              <w:spacing w:after="0" w:line="240" w:lineRule="auto"/>
              <w:rPr>
                <w:sz w:val="24"/>
                <w:szCs w:val="24"/>
              </w:rPr>
            </w:pPr>
            <w:r>
              <w:rPr>
                <w:rFonts w:ascii="Times New Roman" w:hAnsi="Times New Roman" w:cs="Times New Roman"/>
                <w:color w:val="#000000"/>
                <w:sz w:val="24"/>
                <w:szCs w:val="24"/>
              </w:rPr>
              <w:t> Составление плана-макета цветового оформления спортивных сооружений.</w:t>
            </w:r>
          </w:p>
          <w:p>
            <w:pPr>
              <w:jc w:val="both"/>
              <w:spacing w:after="0" w:line="240" w:lineRule="auto"/>
              <w:rPr>
                <w:sz w:val="24"/>
                <w:szCs w:val="24"/>
              </w:rPr>
            </w:pPr>
            <w:r>
              <w:rPr>
                <w:rFonts w:ascii="Times New Roman" w:hAnsi="Times New Roman" w:cs="Times New Roman"/>
                <w:color w:val="#000000"/>
                <w:sz w:val="24"/>
                <w:szCs w:val="24"/>
              </w:rPr>
              <w:t> Анализ общих требований к спортивным сооружениям.</w:t>
            </w:r>
          </w:p>
          <w:p>
            <w:pPr>
              <w:jc w:val="both"/>
              <w:spacing w:after="0" w:line="240" w:lineRule="auto"/>
              <w:rPr>
                <w:sz w:val="24"/>
                <w:szCs w:val="24"/>
              </w:rPr>
            </w:pPr>
            <w:r>
              <w:rPr>
                <w:rFonts w:ascii="Times New Roman" w:hAnsi="Times New Roman" w:cs="Times New Roman"/>
                <w:color w:val="#000000"/>
                <w:sz w:val="24"/>
                <w:szCs w:val="24"/>
              </w:rPr>
              <w:t> Оценка освещения спортивного объекта.</w:t>
            </w:r>
          </w:p>
          <w:p>
            <w:pPr>
              <w:jc w:val="both"/>
              <w:spacing w:after="0" w:line="240" w:lineRule="auto"/>
              <w:rPr>
                <w:sz w:val="24"/>
                <w:szCs w:val="24"/>
              </w:rPr>
            </w:pPr>
            <w:r>
              <w:rPr>
                <w:rFonts w:ascii="Times New Roman" w:hAnsi="Times New Roman" w:cs="Times New Roman"/>
                <w:color w:val="#000000"/>
                <w:sz w:val="24"/>
                <w:szCs w:val="24"/>
              </w:rPr>
              <w:t> Составление плана обустройства школьного спортивного зала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«Гигиенические основы физического воспитания» / Денисова Елена Сергеевна.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Стеблецов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978-5-534-14311-9.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https://urait.ru/bcode/496688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Махов,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Орел:</w:t>
            </w:r>
            <w:r>
              <w:rPr/>
              <w:t xml:space="preserve"> </w:t>
            </w:r>
            <w:r>
              <w:rPr>
                <w:rFonts w:ascii="Times New Roman" w:hAnsi="Times New Roman" w:cs="Times New Roman"/>
                <w:color w:val="#000000"/>
                <w:sz w:val="24"/>
                <w:szCs w:val="24"/>
              </w:rPr>
              <w:t>Межрегиональная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безопасности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выживания</w:t>
            </w:r>
            <w:r>
              <w:rPr/>
              <w:t xml:space="preserve"> </w:t>
            </w:r>
            <w:r>
              <w:rPr>
                <w:rFonts w:ascii="Times New Roman" w:hAnsi="Times New Roman" w:cs="Times New Roman"/>
                <w:color w:val="#000000"/>
                <w:sz w:val="24"/>
                <w:szCs w:val="24"/>
              </w:rPr>
              <w:t>(МАБИВ),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http://www.iprbookshop.ru/95397.html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воздействие</w:t>
            </w:r>
            <w:r>
              <w:rPr/>
              <w:t xml:space="preserve"> </w:t>
            </w:r>
            <w:r>
              <w:rPr>
                <w:rFonts w:ascii="Times New Roman" w:hAnsi="Times New Roman" w:cs="Times New Roman"/>
                <w:color w:val="#000000"/>
                <w:sz w:val="24"/>
                <w:szCs w:val="24"/>
              </w:rPr>
              <w:t>окружающей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Ханнанова-Фахрутдинова,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Махоткина,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экология</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воздействие</w:t>
            </w:r>
            <w:r>
              <w:rPr/>
              <w:t xml:space="preserve"> </w:t>
            </w:r>
            <w:r>
              <w:rPr>
                <w:rFonts w:ascii="Times New Roman" w:hAnsi="Times New Roman" w:cs="Times New Roman"/>
                <w:color w:val="#000000"/>
                <w:sz w:val="24"/>
                <w:szCs w:val="24"/>
              </w:rPr>
              <w:t>окружающей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978-5-7882-2506-7.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http://www.iprbookshop.ru/100524.html</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Гигиена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Карелин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Александрова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978-5-534-14323-2.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https://urait.ru/bcode/496200</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Гигиеническая</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питания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Кальсина,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Гигиеническая</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питания</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занятиях</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http://www.iprbookshop.ru/109712.html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24.75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63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457.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2024-2025_ФГОС3++2024_Бак-ЗФО-ПО(ФК)(24)_plx_Гигиенические основы физического воспитания</dc:title>
  <dc:creator>FastReport.NET</dc:creator>
</cp:coreProperties>
</file>